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633" w:rsidRPr="00DA5C97" w:rsidRDefault="00364633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A5C97">
        <w:rPr>
          <w:rFonts w:ascii="Times New Roman" w:hAnsi="Times New Roman" w:cs="Times New Roman"/>
          <w:sz w:val="24"/>
          <w:szCs w:val="24"/>
        </w:rPr>
        <w:t>Паспорт государственной программы</w:t>
      </w:r>
    </w:p>
    <w:p w:rsidR="00364633" w:rsidRPr="00DA5C97" w:rsidRDefault="0036463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A5C97">
        <w:rPr>
          <w:rFonts w:ascii="Times New Roman" w:hAnsi="Times New Roman" w:cs="Times New Roman"/>
          <w:sz w:val="24"/>
          <w:szCs w:val="24"/>
        </w:rPr>
        <w:t>Ханты-Мансийского автономного округа - Югры "Развитие</w:t>
      </w:r>
    </w:p>
    <w:p w:rsidR="00364633" w:rsidRPr="00DA5C97" w:rsidRDefault="0036463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A5C97">
        <w:rPr>
          <w:rFonts w:ascii="Times New Roman" w:hAnsi="Times New Roman" w:cs="Times New Roman"/>
          <w:sz w:val="24"/>
          <w:szCs w:val="24"/>
        </w:rPr>
        <w:t>жилищной сферы" (далее - государственная программа)</w:t>
      </w:r>
    </w:p>
    <w:p w:rsidR="00364633" w:rsidRPr="00DA5C97" w:rsidRDefault="0036463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6"/>
        <w:gridCol w:w="5994"/>
      </w:tblGrid>
      <w:tr w:rsidR="00DA5C97" w:rsidRPr="00DA5C97" w:rsidTr="00E923A5">
        <w:tc>
          <w:tcPr>
            <w:tcW w:w="0" w:type="auto"/>
          </w:tcPr>
          <w:p w:rsidR="00364633" w:rsidRPr="00DA5C97" w:rsidRDefault="00364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0" w:type="auto"/>
          </w:tcPr>
          <w:p w:rsidR="00364633" w:rsidRPr="00DA5C97" w:rsidRDefault="00364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Развитие жилищной сферы</w:t>
            </w:r>
          </w:p>
        </w:tc>
      </w:tr>
      <w:tr w:rsidR="00DA5C97" w:rsidRPr="00DA5C97" w:rsidTr="00E923A5">
        <w:tc>
          <w:tcPr>
            <w:tcW w:w="0" w:type="auto"/>
          </w:tcPr>
          <w:p w:rsidR="00364633" w:rsidRPr="00DA5C97" w:rsidRDefault="00364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Дата утверждения государственной программы (наименование и номер соответствующего нормативного правового акта)</w:t>
            </w:r>
          </w:p>
        </w:tc>
        <w:tc>
          <w:tcPr>
            <w:tcW w:w="0" w:type="auto"/>
          </w:tcPr>
          <w:p w:rsidR="00364633" w:rsidRPr="00DA5C97" w:rsidRDefault="00364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Ханты-Мансийского автономного округа - Югры от 5 октября 2018 года N 346-п "О государственной программе Ханты-Мансийского автономного округа - Югры "Развитие жилищной сферы"</w:t>
            </w:r>
          </w:p>
        </w:tc>
      </w:tr>
      <w:tr w:rsidR="00DA5C97" w:rsidRPr="00DA5C97" w:rsidTr="00E923A5">
        <w:tc>
          <w:tcPr>
            <w:tcW w:w="0" w:type="auto"/>
          </w:tcPr>
          <w:p w:rsidR="00364633" w:rsidRPr="00DA5C97" w:rsidRDefault="00364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0" w:type="auto"/>
          </w:tcPr>
          <w:p w:rsidR="00364633" w:rsidRPr="00DA5C97" w:rsidRDefault="00364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Ханты-Мансийского автономного округа - Югры</w:t>
            </w:r>
          </w:p>
        </w:tc>
      </w:tr>
      <w:tr w:rsidR="00DA5C97" w:rsidRPr="00DA5C97" w:rsidTr="00E923A5">
        <w:tc>
          <w:tcPr>
            <w:tcW w:w="0" w:type="auto"/>
          </w:tcPr>
          <w:p w:rsidR="00364633" w:rsidRPr="00DA5C97" w:rsidRDefault="00364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0" w:type="auto"/>
          </w:tcPr>
          <w:p w:rsidR="00364633" w:rsidRPr="00DA5C97" w:rsidRDefault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Служба жилищного и строительного надзора Ханты-Мансийского автономного округа - Югры,</w:t>
            </w:r>
          </w:p>
          <w:p w:rsidR="00364633" w:rsidRPr="00DA5C97" w:rsidRDefault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информационных технологий и </w:t>
            </w:r>
            <w:proofErr w:type="gramStart"/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цифрового</w:t>
            </w:r>
            <w:proofErr w:type="gramEnd"/>
            <w:r w:rsidRPr="00DA5C97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Ханты-Мансийского автономного округа - Югры,</w:t>
            </w:r>
          </w:p>
          <w:p w:rsidR="00364633" w:rsidRPr="00DA5C97" w:rsidRDefault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Департамент дорожного хозяйства и транспорта Ханты-Мансийского автономного округа - Югры,</w:t>
            </w:r>
          </w:p>
          <w:p w:rsidR="00364633" w:rsidRPr="00DA5C97" w:rsidRDefault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Ханты-Мансийского автономного округа - Югры</w:t>
            </w:r>
          </w:p>
        </w:tc>
      </w:tr>
      <w:tr w:rsidR="00DA5C97" w:rsidRPr="00DA5C97" w:rsidTr="00E923A5">
        <w:tc>
          <w:tcPr>
            <w:tcW w:w="0" w:type="auto"/>
          </w:tcPr>
          <w:p w:rsidR="00364633" w:rsidRPr="00DA5C97" w:rsidRDefault="00364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Цель государственной программы</w:t>
            </w:r>
          </w:p>
        </w:tc>
        <w:tc>
          <w:tcPr>
            <w:tcW w:w="0" w:type="auto"/>
          </w:tcPr>
          <w:p w:rsidR="00364633" w:rsidRPr="00DA5C97" w:rsidRDefault="00364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жилищного строительства и обеспечения жильем отдельных категорий граждан</w:t>
            </w:r>
          </w:p>
        </w:tc>
      </w:tr>
      <w:tr w:rsidR="00DA5C97" w:rsidRPr="00DA5C97" w:rsidTr="00E923A5">
        <w:tc>
          <w:tcPr>
            <w:tcW w:w="0" w:type="auto"/>
          </w:tcPr>
          <w:p w:rsidR="00364633" w:rsidRPr="00DA5C97" w:rsidRDefault="00364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0" w:type="auto"/>
          </w:tcPr>
          <w:p w:rsidR="00364633" w:rsidRPr="00DA5C97" w:rsidRDefault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1. Развитие градостроительного регулирования.</w:t>
            </w:r>
          </w:p>
          <w:p w:rsidR="00364633" w:rsidRPr="00DA5C97" w:rsidRDefault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2. Стимулирование жилищного строительства.</w:t>
            </w:r>
          </w:p>
          <w:p w:rsidR="00364633" w:rsidRPr="00DA5C97" w:rsidRDefault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3. Формирование фонда наемных домов.</w:t>
            </w:r>
          </w:p>
          <w:p w:rsidR="00364633" w:rsidRPr="00DA5C97" w:rsidRDefault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4. Оказание мер государственной поддержки на приобретение жилых помещений отдельным категориям граждан, повышение доступности ипотечных жилищных кредитов для населения Ханты-Мансийского автономного округа - Югры.</w:t>
            </w:r>
          </w:p>
          <w:p w:rsidR="00364633" w:rsidRPr="00DA5C97" w:rsidRDefault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5. Переселение граждан в благоустроенные жилые помещения из аварийного жилищного фонда.</w:t>
            </w:r>
          </w:p>
        </w:tc>
      </w:tr>
      <w:tr w:rsidR="00DA5C97" w:rsidRPr="00DA5C97" w:rsidTr="00E923A5">
        <w:tc>
          <w:tcPr>
            <w:tcW w:w="0" w:type="auto"/>
          </w:tcPr>
          <w:p w:rsidR="00364633" w:rsidRPr="00DA5C97" w:rsidRDefault="00364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0" w:type="auto"/>
          </w:tcPr>
          <w:p w:rsidR="00364633" w:rsidRPr="00DA5C97" w:rsidRDefault="006B5B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364633" w:rsidRPr="00DA5C97">
                <w:rPr>
                  <w:rFonts w:ascii="Times New Roman" w:hAnsi="Times New Roman" w:cs="Times New Roman"/>
                  <w:sz w:val="24"/>
                  <w:szCs w:val="24"/>
                </w:rPr>
                <w:t>Подпрограмма I</w:t>
              </w:r>
            </w:hyperlink>
            <w:r w:rsidR="00364633" w:rsidRPr="00DA5C97">
              <w:rPr>
                <w:rFonts w:ascii="Times New Roman" w:hAnsi="Times New Roman" w:cs="Times New Roman"/>
                <w:sz w:val="24"/>
                <w:szCs w:val="24"/>
              </w:rPr>
              <w:t xml:space="preserve"> "Содействие развитию градостроительной деятельности".</w:t>
            </w:r>
          </w:p>
          <w:p w:rsidR="00364633" w:rsidRPr="00DA5C97" w:rsidRDefault="006B5B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64633" w:rsidRPr="00DA5C97">
                <w:rPr>
                  <w:rFonts w:ascii="Times New Roman" w:hAnsi="Times New Roman" w:cs="Times New Roman"/>
                  <w:sz w:val="24"/>
                  <w:szCs w:val="24"/>
                </w:rPr>
                <w:t>Подпрограмма II</w:t>
              </w:r>
            </w:hyperlink>
            <w:r w:rsidR="00364633" w:rsidRPr="00DA5C97">
              <w:rPr>
                <w:rFonts w:ascii="Times New Roman" w:hAnsi="Times New Roman" w:cs="Times New Roman"/>
                <w:sz w:val="24"/>
                <w:szCs w:val="24"/>
              </w:rPr>
              <w:t xml:space="preserve"> "Содействие развитию жилищного строительства".</w:t>
            </w:r>
          </w:p>
          <w:p w:rsidR="00364633" w:rsidRPr="00DA5C97" w:rsidRDefault="006B5B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64633" w:rsidRPr="00DA5C97">
                <w:rPr>
                  <w:rFonts w:ascii="Times New Roman" w:hAnsi="Times New Roman" w:cs="Times New Roman"/>
                  <w:sz w:val="24"/>
                  <w:szCs w:val="24"/>
                </w:rPr>
                <w:t>Подпрограмма III</w:t>
              </w:r>
            </w:hyperlink>
            <w:r w:rsidR="00364633" w:rsidRPr="00DA5C97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фонда наемных домов".</w:t>
            </w:r>
          </w:p>
          <w:p w:rsidR="00364633" w:rsidRPr="00DA5C97" w:rsidRDefault="006B5B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364633" w:rsidRPr="00DA5C97">
                <w:rPr>
                  <w:rFonts w:ascii="Times New Roman" w:hAnsi="Times New Roman" w:cs="Times New Roman"/>
                  <w:sz w:val="24"/>
                  <w:szCs w:val="24"/>
                </w:rPr>
                <w:t>Подпрограмма IV</w:t>
              </w:r>
            </w:hyperlink>
            <w:r w:rsidR="00364633" w:rsidRPr="00DA5C97">
              <w:rPr>
                <w:rFonts w:ascii="Times New Roman" w:hAnsi="Times New Roman" w:cs="Times New Roman"/>
                <w:sz w:val="24"/>
                <w:szCs w:val="24"/>
              </w:rPr>
              <w:t xml:space="preserve"> "Обеспечение мерами государственной поддержки по улучшению жилищных условий отдельных категорий граждан".</w:t>
            </w:r>
          </w:p>
          <w:p w:rsidR="00364633" w:rsidRPr="00DA5C97" w:rsidRDefault="006B5B6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364633" w:rsidRPr="00DA5C97">
                <w:rPr>
                  <w:rFonts w:ascii="Times New Roman" w:hAnsi="Times New Roman" w:cs="Times New Roman"/>
                  <w:sz w:val="24"/>
                  <w:szCs w:val="24"/>
                </w:rPr>
                <w:t>Подпрограмма V</w:t>
              </w:r>
            </w:hyperlink>
            <w:r w:rsidR="00364633" w:rsidRPr="00DA5C97">
              <w:rPr>
                <w:rFonts w:ascii="Times New Roman" w:hAnsi="Times New Roman" w:cs="Times New Roman"/>
                <w:sz w:val="24"/>
                <w:szCs w:val="24"/>
              </w:rPr>
              <w:t xml:space="preserve"> "Обеспечение реализации государственной программы"</w:t>
            </w:r>
          </w:p>
        </w:tc>
      </w:tr>
      <w:tr w:rsidR="00DA5C97" w:rsidRPr="00DA5C97" w:rsidTr="00EA6095">
        <w:tc>
          <w:tcPr>
            <w:tcW w:w="0" w:type="auto"/>
          </w:tcPr>
          <w:p w:rsidR="00364633" w:rsidRPr="00DA5C97" w:rsidRDefault="00364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 xml:space="preserve">Портфели проектов, проекты автономного округа, входящие в состав </w:t>
            </w:r>
            <w:r w:rsidRPr="00DA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программы,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0" w:type="auto"/>
            <w:shd w:val="clear" w:color="auto" w:fill="auto"/>
          </w:tcPr>
          <w:p w:rsidR="00364633" w:rsidRPr="00DA5C97" w:rsidRDefault="00364633" w:rsidP="00EA60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портфель проектов "Жилье и городская среда" </w:t>
            </w:r>
            <w:r w:rsidR="00EA6095" w:rsidRPr="00DA5C9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6095" w:rsidRPr="00DA5C97">
              <w:rPr>
                <w:rFonts w:ascii="Times New Roman" w:hAnsi="Times New Roman" w:cs="Times New Roman"/>
                <w:sz w:val="24"/>
                <w:szCs w:val="24"/>
              </w:rPr>
              <w:t xml:space="preserve">28 121 297,6 </w:t>
            </w: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:rsidR="00364633" w:rsidRPr="00DA5C97" w:rsidRDefault="00364633" w:rsidP="00EA60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 "Жилье" - </w:t>
            </w:r>
            <w:r w:rsidR="00895735" w:rsidRPr="00DA5C97">
              <w:rPr>
                <w:rFonts w:ascii="Times New Roman" w:hAnsi="Times New Roman" w:cs="Times New Roman"/>
                <w:sz w:val="24"/>
                <w:szCs w:val="24"/>
              </w:rPr>
              <w:t xml:space="preserve">425 494,1 </w:t>
            </w: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364633" w:rsidRPr="00DA5C97" w:rsidRDefault="00364633" w:rsidP="00EA60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 xml:space="preserve">проект "Обеспечение устойчивого сокращения непригодного для проживания жилищного фонда" - </w:t>
            </w:r>
            <w:r w:rsidR="00EA6095" w:rsidRPr="00DA5C97">
              <w:rPr>
                <w:rFonts w:ascii="Times New Roman" w:hAnsi="Times New Roman" w:cs="Times New Roman"/>
                <w:sz w:val="24"/>
                <w:szCs w:val="24"/>
              </w:rPr>
              <w:t>27 695 803,5</w:t>
            </w: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64633" w:rsidRPr="00DA5C97" w:rsidRDefault="00364633" w:rsidP="00EA60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 xml:space="preserve">портфель проектов "Получение разрешения на строительство и территориальное планирование" - </w:t>
            </w:r>
            <w:r w:rsidR="00EA6095" w:rsidRPr="00DA5C97">
              <w:rPr>
                <w:rFonts w:ascii="Times New Roman" w:hAnsi="Times New Roman" w:cs="Times New Roman"/>
                <w:sz w:val="24"/>
                <w:szCs w:val="24"/>
              </w:rPr>
              <w:t xml:space="preserve">17803,8 </w:t>
            </w: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DA5C97" w:rsidRPr="00DA5C97" w:rsidTr="00E923A5">
        <w:tc>
          <w:tcPr>
            <w:tcW w:w="0" w:type="auto"/>
          </w:tcPr>
          <w:p w:rsidR="00364633" w:rsidRPr="00DA5C97" w:rsidRDefault="00364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государственной программы</w:t>
            </w:r>
          </w:p>
        </w:tc>
        <w:tc>
          <w:tcPr>
            <w:tcW w:w="0" w:type="auto"/>
          </w:tcPr>
          <w:p w:rsidR="00364633" w:rsidRPr="00DA5C97" w:rsidRDefault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1. Увеличение общего объема ввода жилья с 0,812 до 1,231 млн. кв. м в год в 2025 году, общего объема ввода жилья в размере не менее 1,001 млн. кв. м в год с 2026 по 2030 годы.</w:t>
            </w:r>
          </w:p>
          <w:p w:rsidR="00364633" w:rsidRPr="00DA5C97" w:rsidRDefault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2. Количество предоставленных ипотечных кредитов не менее 20 тыс. ед. в год.</w:t>
            </w:r>
          </w:p>
          <w:p w:rsidR="00364633" w:rsidRPr="00DA5C97" w:rsidRDefault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3. Увеличение доли семей, обеспеченных жилыми помещениями, от числа семей, желающих улучшить жилищные условия (отношение числа семей, которые приобрели или получили доступное и комфортное жилье в течение года, к числу семей, желающих улучшить свои жилищные условия), с 47,06% до 66,77%.</w:t>
            </w:r>
          </w:p>
          <w:p w:rsidR="00364633" w:rsidRPr="00DA5C97" w:rsidRDefault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4. Обеспечение доли муниципальных образований Ханты-Мансийского автономного округа - Югры с утвержденными документами территориального планирования и градостроительного зонирования от общего количества муниципальных образований Ханты-Мансийского автономного округа - Югры, на уровне 100% до 2030 года.</w:t>
            </w:r>
          </w:p>
          <w:p w:rsidR="00364633" w:rsidRPr="00DA5C97" w:rsidRDefault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5. Увеличение доли муниципальных услуг в электронном виде в общем количестве предоставленных услуг по выдаче разрешения на строительство с 40% до 100% до 2025 года, обеспечение доли муниципальных услуг в электронном виде в общем количестве предоставленных услуг по выдаче разрешения на строительство в размере 100% с 2026 по 2030 годы.</w:t>
            </w:r>
          </w:p>
          <w:p w:rsidR="00364633" w:rsidRPr="00DA5C97" w:rsidRDefault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6. Прирост высокопроизводительных рабочих мест на 70% относительно 2016 года.</w:t>
            </w:r>
          </w:p>
          <w:p w:rsidR="00364633" w:rsidRPr="00DA5C97" w:rsidRDefault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 xml:space="preserve">7. Исключен. - </w:t>
            </w:r>
            <w:hyperlink r:id="rId12" w:history="1">
              <w:r w:rsidRPr="00DA5C97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DA5C97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ХМАО - Югры от 23.08.2019 N 287-п.</w:t>
            </w:r>
          </w:p>
          <w:p w:rsidR="00364633" w:rsidRPr="00DA5C97" w:rsidRDefault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8. Увеличение общей площади жилых помещений, приходящихся в среднем на 1 жителя, с 20,8 до 23,4 кв. м до 2025 года, общей площади жилых помещений, приходящихся в среднем на 1 жителя, в размере не менее 25,4 кв. м с 2026 по 2030 годы.</w:t>
            </w:r>
          </w:p>
          <w:p w:rsidR="00364633" w:rsidRPr="00DA5C97" w:rsidRDefault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9. Увеличение количества квадратных метров расселенного аварийного жилищного фонда с 15,94 до 123,4 тыс. кв. м в год к 2025 году.</w:t>
            </w:r>
          </w:p>
          <w:p w:rsidR="00364633" w:rsidRPr="00DA5C97" w:rsidRDefault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10. Увеличение количества граждан, расселенных из аварийного жилищного фонда, с 1,01 до 6,9 тыс. чел. в год к 2025 году.</w:t>
            </w:r>
          </w:p>
          <w:p w:rsidR="00364633" w:rsidRPr="00DA5C97" w:rsidRDefault="0036463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11. Количество семей, улучшивших жилищные условия, с 39,8 до 48,6 тыс. семей к 2025 году.</w:t>
            </w:r>
          </w:p>
          <w:p w:rsidR="00364633" w:rsidRPr="00DA5C97" w:rsidRDefault="0036463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12. Уровень доступности жилья с 62,7% до 72,1% к 2025 году.</w:t>
            </w:r>
          </w:p>
        </w:tc>
      </w:tr>
      <w:tr w:rsidR="00DA5C97" w:rsidRPr="00DA5C97" w:rsidTr="00E923A5">
        <w:tc>
          <w:tcPr>
            <w:tcW w:w="0" w:type="auto"/>
          </w:tcPr>
          <w:p w:rsidR="00364633" w:rsidRPr="00DA5C97" w:rsidRDefault="00364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государственной программы</w:t>
            </w:r>
          </w:p>
        </w:tc>
        <w:tc>
          <w:tcPr>
            <w:tcW w:w="0" w:type="auto"/>
          </w:tcPr>
          <w:p w:rsidR="00364633" w:rsidRPr="00DA5C97" w:rsidRDefault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2019 - 2025 годы и на период до 2030 года</w:t>
            </w:r>
          </w:p>
        </w:tc>
      </w:tr>
      <w:tr w:rsidR="00DA5C97" w:rsidRPr="00DA5C97" w:rsidTr="00E923A5">
        <w:tc>
          <w:tcPr>
            <w:tcW w:w="0" w:type="auto"/>
          </w:tcPr>
          <w:p w:rsidR="00364633" w:rsidRPr="00DA5C97" w:rsidRDefault="0036463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государственной программы</w:t>
            </w:r>
          </w:p>
        </w:tc>
        <w:tc>
          <w:tcPr>
            <w:tcW w:w="0" w:type="auto"/>
          </w:tcPr>
          <w:p w:rsidR="00364633" w:rsidRPr="00DA5C97" w:rsidRDefault="00364633" w:rsidP="003646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государственной программы - 147 236 393,9 тыс. рублей, в том числе:</w:t>
            </w:r>
          </w:p>
          <w:p w:rsidR="00364633" w:rsidRPr="00DA5C97" w:rsidRDefault="00364633" w:rsidP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2019 год - 27 924 812,8 тыс. рублей,</w:t>
            </w:r>
          </w:p>
          <w:p w:rsidR="00364633" w:rsidRPr="00DA5C97" w:rsidRDefault="00364633" w:rsidP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2020 год - 13 982 331,0 тыс. рублей,</w:t>
            </w:r>
          </w:p>
          <w:p w:rsidR="00364633" w:rsidRPr="00DA5C97" w:rsidRDefault="00364633" w:rsidP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2021 год - 13 741 632,0 тыс. рублей,</w:t>
            </w:r>
          </w:p>
          <w:p w:rsidR="00364633" w:rsidRPr="00DA5C97" w:rsidRDefault="00364633" w:rsidP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2022 год - 22 907 413,3 тыс. рублей,</w:t>
            </w:r>
          </w:p>
          <w:p w:rsidR="00364633" w:rsidRPr="00DA5C97" w:rsidRDefault="00364633" w:rsidP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2023 год - 11 097 750,2 тыс. рублей,</w:t>
            </w:r>
          </w:p>
          <w:p w:rsidR="00364633" w:rsidRPr="00DA5C97" w:rsidRDefault="00364633" w:rsidP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2024 год - 11 461 613,8 тыс. рублей,</w:t>
            </w:r>
          </w:p>
          <w:p w:rsidR="00364633" w:rsidRPr="00DA5C97" w:rsidRDefault="00364633" w:rsidP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2025 год - 7 524 306,8 тыс. рублей,</w:t>
            </w:r>
          </w:p>
          <w:p w:rsidR="00364633" w:rsidRPr="00DA5C97" w:rsidRDefault="00364633" w:rsidP="0036463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C97">
              <w:rPr>
                <w:rFonts w:ascii="Times New Roman" w:hAnsi="Times New Roman" w:cs="Times New Roman"/>
                <w:sz w:val="24"/>
                <w:szCs w:val="24"/>
              </w:rPr>
              <w:t>2026 - 2030 годы - 38 596 534,0 тыс. рублей.</w:t>
            </w:r>
          </w:p>
        </w:tc>
      </w:tr>
    </w:tbl>
    <w:p w:rsidR="000341EE" w:rsidRPr="00364633" w:rsidRDefault="000341EE" w:rsidP="00364633">
      <w:pPr>
        <w:pStyle w:val="ConsPlusNormal"/>
        <w:rPr>
          <w:rFonts w:ascii="Times New Roman" w:hAnsi="Times New Roman" w:cs="Times New Roman"/>
        </w:rPr>
      </w:pPr>
    </w:p>
    <w:sectPr w:rsidR="000341EE" w:rsidRPr="00364633" w:rsidSect="006B5B61">
      <w:headerReference w:type="default" r:id="rId13"/>
      <w:pgSz w:w="11906" w:h="16838"/>
      <w:pgMar w:top="720" w:right="720" w:bottom="720" w:left="720" w:header="708" w:footer="708" w:gutter="0"/>
      <w:pgNumType w:start="289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B61" w:rsidRDefault="006B5B61" w:rsidP="006B5B61">
      <w:pPr>
        <w:spacing w:after="0" w:line="240" w:lineRule="auto"/>
      </w:pPr>
      <w:r>
        <w:separator/>
      </w:r>
    </w:p>
  </w:endnote>
  <w:endnote w:type="continuationSeparator" w:id="0">
    <w:p w:rsidR="006B5B61" w:rsidRDefault="006B5B61" w:rsidP="006B5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B61" w:rsidRDefault="006B5B61" w:rsidP="006B5B61">
      <w:pPr>
        <w:spacing w:after="0" w:line="240" w:lineRule="auto"/>
      </w:pPr>
      <w:r>
        <w:separator/>
      </w:r>
    </w:p>
  </w:footnote>
  <w:footnote w:type="continuationSeparator" w:id="0">
    <w:p w:rsidR="006B5B61" w:rsidRDefault="006B5B61" w:rsidP="006B5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170019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B5B61" w:rsidRPr="006B5B61" w:rsidRDefault="006B5B61">
        <w:pPr>
          <w:pStyle w:val="a3"/>
          <w:jc w:val="right"/>
          <w:rPr>
            <w:sz w:val="24"/>
            <w:szCs w:val="24"/>
          </w:rPr>
        </w:pPr>
        <w:r w:rsidRPr="006B5B61">
          <w:rPr>
            <w:sz w:val="24"/>
            <w:szCs w:val="24"/>
          </w:rPr>
          <w:fldChar w:fldCharType="begin"/>
        </w:r>
        <w:r w:rsidRPr="006B5B61">
          <w:rPr>
            <w:sz w:val="24"/>
            <w:szCs w:val="24"/>
          </w:rPr>
          <w:instrText>PAGE   \* MERGEFORMAT</w:instrText>
        </w:r>
        <w:r w:rsidRPr="006B5B61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2890</w:t>
        </w:r>
        <w:r w:rsidRPr="006B5B61">
          <w:rPr>
            <w:sz w:val="24"/>
            <w:szCs w:val="24"/>
          </w:rPr>
          <w:fldChar w:fldCharType="end"/>
        </w:r>
      </w:p>
    </w:sdtContent>
  </w:sdt>
  <w:p w:rsidR="006B5B61" w:rsidRDefault="006B5B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633"/>
    <w:rsid w:val="000341EE"/>
    <w:rsid w:val="00364633"/>
    <w:rsid w:val="006B5B61"/>
    <w:rsid w:val="00895735"/>
    <w:rsid w:val="00DA5C97"/>
    <w:rsid w:val="00E923A5"/>
    <w:rsid w:val="00EA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46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46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rsid w:val="003646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646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B5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5B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46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646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rsid w:val="003646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646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B5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5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B1C017EFD4857F9B485790E54DB0FBE259BB454F1FF1BB54D6683736A3FED0EA75317EC0FC60380F9AA9FBC2D6CE55C67CA661CA76366C33730EE6u6W2G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5B1C017EFD4857F9B485790E54DB0FBE259BB454F1FF1BB54D6683736A3FED0EA75317EC0FC60380F9AAFF4C1D6CE55C67CA661CA76366C33730EE6u6W2G" TargetMode="External"/><Relationship Id="rId12" Type="http://schemas.openxmlformats.org/officeDocument/2006/relationships/hyperlink" Target="consultantplus://offline/ref=D5B1C017EFD4857F9B485790E54DB0FBE259BB454F1FF1B357DB683736A3FED0EA75317EC0FC60380F9FADF3C7D6CE55C67CA661CA76366C33730EE6u6W2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5B1C017EFD4857F9B485790E54DB0FBE259BB454F1FF1BB54D6683736A3FED0EA75317EC0FC60380F98ADF3C6D6CE55C67CA661CA76366C33730EE6u6W2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5B1C017EFD4857F9B485790E54DB0FBE259BB454F1FF1BB54D6683736A3FED0EA75317EC0FC60380F99ADF3C0D6CE55C67CA661CA76366C33730EE6u6W2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5B1C017EFD4857F9B485790E54DB0FBE259BB454F1FF1BB54D6683736A3FED0EA75317EC0FC60380F9AA5FAC5D6CE55C67CA661CA76366C33730EE6u6W2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Пучкова Оксана Феофановна</dc:creator>
  <cp:keywords/>
  <dc:description/>
  <cp:lastModifiedBy>Шубная  Юлия  Петровна</cp:lastModifiedBy>
  <cp:revision>5</cp:revision>
  <dcterms:created xsi:type="dcterms:W3CDTF">2019-10-11T06:22:00Z</dcterms:created>
  <dcterms:modified xsi:type="dcterms:W3CDTF">2019-10-21T05:47:00Z</dcterms:modified>
</cp:coreProperties>
</file>